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19A" w:rsidRPr="00424AA1" w:rsidRDefault="0096719A" w:rsidP="0096719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24AA1">
        <w:rPr>
          <w:rFonts w:ascii="Times New Roman" w:hAnsi="Times New Roman" w:cs="Times New Roman"/>
          <w:b/>
          <w:sz w:val="24"/>
          <w:szCs w:val="24"/>
        </w:rPr>
        <w:t xml:space="preserve">Komunikat Ministra Rodziny, Pracy i Polityki Społecznej w sprawie zmian w warunkach realizacji </w:t>
      </w:r>
      <w:r w:rsidRPr="00424AA1">
        <w:rPr>
          <w:rFonts w:ascii="Times New Roman" w:hAnsi="Times New Roman" w:cs="Times New Roman"/>
          <w:b/>
          <w:i/>
          <w:sz w:val="24"/>
          <w:szCs w:val="24"/>
        </w:rPr>
        <w:t>programu wieloletniego „Senior+” na lata 2015-2020</w:t>
      </w:r>
      <w:r w:rsidRPr="00424AA1">
        <w:rPr>
          <w:rFonts w:ascii="Times New Roman" w:hAnsi="Times New Roman" w:cs="Times New Roman"/>
          <w:b/>
          <w:sz w:val="24"/>
          <w:szCs w:val="24"/>
        </w:rPr>
        <w:t xml:space="preserve"> edycja 2020 określonych w ogłoszeniu konkursowym, w związku ze stanem epidemii COVID-19</w:t>
      </w:r>
    </w:p>
    <w:p w:rsidR="00C3359E" w:rsidRPr="00424AA1" w:rsidRDefault="00C3359E" w:rsidP="00C3359E">
      <w:pPr>
        <w:pStyle w:val="Default"/>
        <w:spacing w:line="360" w:lineRule="auto"/>
        <w:jc w:val="both"/>
        <w:rPr>
          <w:rFonts w:ascii="Times New Roman" w:hAnsi="Times New Roman" w:cs="Times New Roman"/>
          <w:i/>
          <w:color w:val="auto"/>
        </w:rPr>
      </w:pPr>
      <w:r w:rsidRPr="00424AA1">
        <w:rPr>
          <w:rFonts w:ascii="Times New Roman" w:hAnsi="Times New Roman" w:cs="Times New Roman"/>
          <w:i/>
          <w:color w:val="auto"/>
        </w:rPr>
        <w:t xml:space="preserve">       Skutki oraz wpływ wystąpienia COVID-19 przejawiają się w wielu aspektach dotyczących zarówno bezpośrednio, jak i pośrednio podmiotów ubiegających się o dofinansowanie beneficjentów oraz donatorów.</w:t>
      </w:r>
    </w:p>
    <w:p w:rsidR="00C3359E" w:rsidRPr="00424AA1" w:rsidRDefault="00C3359E" w:rsidP="00C3359E">
      <w:pPr>
        <w:pStyle w:val="Default"/>
        <w:spacing w:line="360" w:lineRule="auto"/>
        <w:jc w:val="both"/>
        <w:rPr>
          <w:rFonts w:ascii="Times New Roman" w:hAnsi="Times New Roman" w:cs="Times New Roman"/>
          <w:i/>
          <w:color w:val="auto"/>
        </w:rPr>
      </w:pPr>
      <w:r w:rsidRPr="00424AA1">
        <w:rPr>
          <w:rFonts w:ascii="Times New Roman" w:hAnsi="Times New Roman" w:cs="Times New Roman"/>
          <w:i/>
          <w:color w:val="auto"/>
        </w:rPr>
        <w:t xml:space="preserve">       Z tego względu pojęcie skutków COVID-19 nie powinno być rozpatrywane wyłącznie </w:t>
      </w:r>
      <w:r w:rsidRPr="00424AA1">
        <w:rPr>
          <w:rFonts w:ascii="Times New Roman" w:hAnsi="Times New Roman" w:cs="Times New Roman"/>
          <w:i/>
          <w:color w:val="auto"/>
        </w:rPr>
        <w:br/>
        <w:t>w sensie medycznym,</w:t>
      </w:r>
      <w:r w:rsidR="00A96F1D" w:rsidRPr="00424AA1">
        <w:rPr>
          <w:rFonts w:ascii="Times New Roman" w:hAnsi="Times New Roman" w:cs="Times New Roman"/>
          <w:i/>
          <w:color w:val="auto"/>
        </w:rPr>
        <w:t xml:space="preserve"> obejmującym przypadki </w:t>
      </w:r>
      <w:proofErr w:type="spellStart"/>
      <w:r w:rsidR="00A96F1D" w:rsidRPr="00424AA1">
        <w:rPr>
          <w:rFonts w:ascii="Times New Roman" w:hAnsi="Times New Roman" w:cs="Times New Roman"/>
          <w:i/>
          <w:color w:val="auto"/>
        </w:rPr>
        <w:t>zachorowa</w:t>
      </w:r>
      <w:r w:rsidRPr="00424AA1">
        <w:rPr>
          <w:rFonts w:ascii="Times New Roman" w:hAnsi="Times New Roman" w:cs="Times New Roman"/>
          <w:i/>
          <w:color w:val="auto"/>
        </w:rPr>
        <w:t>ń</w:t>
      </w:r>
      <w:proofErr w:type="spellEnd"/>
      <w:r w:rsidRPr="00424AA1">
        <w:rPr>
          <w:rFonts w:ascii="Times New Roman" w:hAnsi="Times New Roman" w:cs="Times New Roman"/>
          <w:i/>
          <w:color w:val="auto"/>
        </w:rPr>
        <w:t xml:space="preserve">, czy przymusowej kwarantanny, ponieważ w związku z wprowadzeniem szczególnych obostrzeń i ograniczeń </w:t>
      </w:r>
      <w:r w:rsidRPr="00424AA1">
        <w:rPr>
          <w:rFonts w:ascii="Times New Roman" w:hAnsi="Times New Roman" w:cs="Times New Roman"/>
          <w:i/>
          <w:color w:val="auto"/>
        </w:rPr>
        <w:br/>
        <w:t xml:space="preserve">w funkcjonowaniu poszczególnych sfer życia społecznego skutki wystąpienia COVID-19, </w:t>
      </w:r>
      <w:r w:rsidRPr="00424AA1">
        <w:rPr>
          <w:rFonts w:ascii="Times New Roman" w:hAnsi="Times New Roman" w:cs="Times New Roman"/>
          <w:i/>
          <w:color w:val="auto"/>
        </w:rPr>
        <w:br/>
        <w:t>w szczególności gospodarcze i społeczne, mogły przełożyć się i przełożyły na sytuację również tych podmiotów, które nie zostały bezpośrednio dotknięte samą chorobą, ale odczuły dotkliwe konsekwencje jej wystąpienia, jak w przypadku</w:t>
      </w:r>
      <w:r w:rsidR="005C5234" w:rsidRPr="00424AA1">
        <w:rPr>
          <w:rFonts w:ascii="Times New Roman" w:hAnsi="Times New Roman" w:cs="Times New Roman"/>
          <w:i/>
          <w:color w:val="auto"/>
        </w:rPr>
        <w:t xml:space="preserve"> korzystających z programu</w:t>
      </w:r>
      <w:r w:rsidR="00416119" w:rsidRPr="00424AA1">
        <w:rPr>
          <w:rFonts w:ascii="Times New Roman" w:hAnsi="Times New Roman" w:cs="Times New Roman"/>
          <w:i/>
          <w:color w:val="auto"/>
        </w:rPr>
        <w:t xml:space="preserve"> wieloletniego </w:t>
      </w:r>
      <w:r w:rsidR="005C5234" w:rsidRPr="00424AA1">
        <w:rPr>
          <w:rFonts w:ascii="Times New Roman" w:hAnsi="Times New Roman" w:cs="Times New Roman"/>
          <w:i/>
          <w:color w:val="auto"/>
        </w:rPr>
        <w:t xml:space="preserve"> </w:t>
      </w:r>
      <w:r w:rsidR="00416119" w:rsidRPr="00424AA1">
        <w:rPr>
          <w:rFonts w:ascii="Times New Roman" w:hAnsi="Times New Roman" w:cs="Times New Roman"/>
          <w:i/>
          <w:color w:val="auto"/>
        </w:rPr>
        <w:t>„</w:t>
      </w:r>
      <w:r w:rsidR="005C5234" w:rsidRPr="00424AA1">
        <w:rPr>
          <w:rFonts w:ascii="Times New Roman" w:hAnsi="Times New Roman" w:cs="Times New Roman"/>
          <w:i/>
          <w:color w:val="auto"/>
        </w:rPr>
        <w:t>Senior+</w:t>
      </w:r>
      <w:r w:rsidR="00416119" w:rsidRPr="00424AA1">
        <w:rPr>
          <w:rFonts w:ascii="Times New Roman" w:hAnsi="Times New Roman" w:cs="Times New Roman"/>
          <w:i/>
          <w:color w:val="auto"/>
        </w:rPr>
        <w:t>”</w:t>
      </w:r>
      <w:r w:rsidR="005C5234" w:rsidRPr="00424AA1">
        <w:rPr>
          <w:rFonts w:ascii="Times New Roman" w:hAnsi="Times New Roman" w:cs="Times New Roman"/>
          <w:i/>
          <w:color w:val="auto"/>
        </w:rPr>
        <w:t xml:space="preserve"> </w:t>
      </w:r>
      <w:r w:rsidRPr="00424AA1">
        <w:rPr>
          <w:rFonts w:ascii="Times New Roman" w:hAnsi="Times New Roman" w:cs="Times New Roman"/>
          <w:i/>
          <w:color w:val="auto"/>
        </w:rPr>
        <w:t xml:space="preserve">placówek senioralnych. </w:t>
      </w:r>
    </w:p>
    <w:p w:rsidR="00C3359E" w:rsidRPr="00424AA1" w:rsidRDefault="00C3359E" w:rsidP="00C3359E">
      <w:pPr>
        <w:pStyle w:val="Default"/>
        <w:spacing w:line="360" w:lineRule="auto"/>
        <w:jc w:val="both"/>
        <w:rPr>
          <w:rFonts w:ascii="Times New Roman" w:hAnsi="Times New Roman" w:cs="Times New Roman"/>
          <w:i/>
          <w:color w:val="auto"/>
        </w:rPr>
      </w:pPr>
      <w:r w:rsidRPr="00424AA1">
        <w:rPr>
          <w:rFonts w:ascii="Times New Roman" w:hAnsi="Times New Roman" w:cs="Times New Roman"/>
          <w:i/>
          <w:color w:val="auto"/>
        </w:rPr>
        <w:t xml:space="preserve">      Epidemia COVID-19 wywołała kryzys, który niewątpliwie wymaga zastosowania wyjątkowych rozwiązań i elastyczności w podejściu do oceny stopnia realizacji celu projektu oraz kwalifikowalności wydatków. W związku z tym, że bieżąca realizacja zadań w ramach programu może być obecnie znacznie utrudniona, a czasem wręcz niemożliwa, oceny stopnia realizacji celów programu, kwalifikowalności wydatków, powinno się dokonywać w związku z</w:t>
      </w:r>
      <w:r w:rsidR="009B022E" w:rsidRPr="00424AA1">
        <w:rPr>
          <w:rFonts w:ascii="Times New Roman" w:hAnsi="Times New Roman" w:cs="Times New Roman"/>
          <w:i/>
          <w:color w:val="auto"/>
        </w:rPr>
        <w:t> </w:t>
      </w:r>
      <w:r w:rsidRPr="00424AA1">
        <w:rPr>
          <w:rFonts w:ascii="Times New Roman" w:hAnsi="Times New Roman" w:cs="Times New Roman"/>
          <w:i/>
          <w:color w:val="auto"/>
        </w:rPr>
        <w:t>wystąpieniem stanu zagrożenia epidemicznego, a następnie stanu epidemii, wprowadzonych na terenie całego kraju, a poprzez określone decyzje wojewodów, na terenie województw.</w:t>
      </w:r>
    </w:p>
    <w:p w:rsidR="00C3359E" w:rsidRPr="00424AA1" w:rsidRDefault="00C3359E" w:rsidP="00C3359E">
      <w:pPr>
        <w:pStyle w:val="Default"/>
        <w:spacing w:line="360" w:lineRule="auto"/>
        <w:jc w:val="both"/>
        <w:rPr>
          <w:rFonts w:ascii="Times New Roman" w:hAnsi="Times New Roman" w:cs="Times New Roman"/>
          <w:i/>
          <w:color w:val="auto"/>
        </w:rPr>
      </w:pPr>
      <w:r w:rsidRPr="00424AA1">
        <w:rPr>
          <w:rFonts w:ascii="Times New Roman" w:hAnsi="Times New Roman" w:cs="Times New Roman"/>
          <w:i/>
          <w:color w:val="auto"/>
        </w:rPr>
        <w:t xml:space="preserve">       W tej nadzwyczajnej sytuacji, właściwe rozumienie  przepisów</w:t>
      </w:r>
      <w:r w:rsidR="005C5234" w:rsidRPr="00424AA1">
        <w:rPr>
          <w:rFonts w:ascii="Times New Roman" w:hAnsi="Times New Roman" w:cs="Times New Roman"/>
          <w:i/>
          <w:color w:val="auto"/>
        </w:rPr>
        <w:t xml:space="preserve"> </w:t>
      </w:r>
      <w:r w:rsidR="009B022E" w:rsidRPr="00424AA1">
        <w:rPr>
          <w:rFonts w:ascii="Times New Roman" w:hAnsi="Times New Roman" w:cs="Times New Roman"/>
          <w:i/>
          <w:color w:val="auto"/>
        </w:rPr>
        <w:t>p</w:t>
      </w:r>
      <w:r w:rsidR="005C5234" w:rsidRPr="00424AA1">
        <w:rPr>
          <w:rFonts w:ascii="Times New Roman" w:hAnsi="Times New Roman" w:cs="Times New Roman"/>
          <w:i/>
          <w:color w:val="auto"/>
        </w:rPr>
        <w:t>rogramu</w:t>
      </w:r>
      <w:r w:rsidR="009B022E" w:rsidRPr="00424AA1">
        <w:rPr>
          <w:rFonts w:ascii="Times New Roman" w:hAnsi="Times New Roman" w:cs="Times New Roman"/>
          <w:i/>
          <w:color w:val="auto"/>
        </w:rPr>
        <w:t xml:space="preserve"> wieloletniego </w:t>
      </w:r>
      <w:r w:rsidR="005C5234" w:rsidRPr="00424AA1">
        <w:rPr>
          <w:rFonts w:ascii="Times New Roman" w:hAnsi="Times New Roman" w:cs="Times New Roman"/>
          <w:i/>
          <w:color w:val="auto"/>
        </w:rPr>
        <w:t xml:space="preserve"> </w:t>
      </w:r>
      <w:r w:rsidR="009B022E" w:rsidRPr="00424AA1">
        <w:rPr>
          <w:rFonts w:ascii="Times New Roman" w:hAnsi="Times New Roman" w:cs="Times New Roman"/>
          <w:i/>
          <w:color w:val="auto"/>
        </w:rPr>
        <w:t>„</w:t>
      </w:r>
      <w:r w:rsidR="005C5234" w:rsidRPr="00424AA1">
        <w:rPr>
          <w:rFonts w:ascii="Times New Roman" w:hAnsi="Times New Roman" w:cs="Times New Roman"/>
          <w:i/>
          <w:color w:val="auto"/>
        </w:rPr>
        <w:t>Senior+</w:t>
      </w:r>
      <w:r w:rsidR="009B022E" w:rsidRPr="00424AA1">
        <w:rPr>
          <w:rFonts w:ascii="Times New Roman" w:hAnsi="Times New Roman" w:cs="Times New Roman"/>
          <w:i/>
          <w:color w:val="auto"/>
        </w:rPr>
        <w:t>”</w:t>
      </w:r>
      <w:r w:rsidR="005C5234" w:rsidRPr="00424AA1">
        <w:rPr>
          <w:rFonts w:ascii="Times New Roman" w:hAnsi="Times New Roman" w:cs="Times New Roman"/>
          <w:i/>
          <w:color w:val="auto"/>
        </w:rPr>
        <w:t xml:space="preserve"> </w:t>
      </w:r>
      <w:r w:rsidRPr="00424AA1">
        <w:rPr>
          <w:rFonts w:ascii="Times New Roman" w:hAnsi="Times New Roman" w:cs="Times New Roman"/>
          <w:i/>
          <w:color w:val="auto"/>
        </w:rPr>
        <w:t xml:space="preserve"> powinno dawać niezbędny zakres elastyczności, tak aby przepisy mogły umożliwić przeciwdziałanie całokształtowi negatywnych konsekwencji wystąpienia pandemii </w:t>
      </w:r>
      <w:proofErr w:type="spellStart"/>
      <w:r w:rsidRPr="00424AA1">
        <w:rPr>
          <w:rFonts w:ascii="Times New Roman" w:hAnsi="Times New Roman" w:cs="Times New Roman"/>
          <w:i/>
          <w:color w:val="auto"/>
        </w:rPr>
        <w:t>koronawirusa</w:t>
      </w:r>
      <w:proofErr w:type="spellEnd"/>
      <w:r w:rsidRPr="00424AA1">
        <w:rPr>
          <w:rFonts w:ascii="Times New Roman" w:hAnsi="Times New Roman" w:cs="Times New Roman"/>
          <w:i/>
          <w:color w:val="auto"/>
        </w:rPr>
        <w:t xml:space="preserve"> i aby możliwe było w </w:t>
      </w:r>
      <w:r w:rsidR="005C5234" w:rsidRPr="00424AA1">
        <w:rPr>
          <w:rFonts w:ascii="Times New Roman" w:hAnsi="Times New Roman" w:cs="Times New Roman"/>
          <w:i/>
          <w:color w:val="auto"/>
        </w:rPr>
        <w:t>tych nadzwyczajnych</w:t>
      </w:r>
      <w:r w:rsidRPr="00424AA1">
        <w:rPr>
          <w:rFonts w:ascii="Times New Roman" w:hAnsi="Times New Roman" w:cs="Times New Roman"/>
          <w:i/>
          <w:color w:val="auto"/>
        </w:rPr>
        <w:t xml:space="preserve"> warunkach skuteczne wdrażanie</w:t>
      </w:r>
      <w:r w:rsidR="00601C52" w:rsidRPr="00424AA1">
        <w:rPr>
          <w:rFonts w:ascii="Times New Roman" w:hAnsi="Times New Roman" w:cs="Times New Roman"/>
          <w:i/>
          <w:color w:val="auto"/>
        </w:rPr>
        <w:t xml:space="preserve"> i </w:t>
      </w:r>
      <w:r w:rsidRPr="00424AA1">
        <w:rPr>
          <w:rFonts w:ascii="Times New Roman" w:hAnsi="Times New Roman" w:cs="Times New Roman"/>
          <w:i/>
          <w:color w:val="auto"/>
        </w:rPr>
        <w:t xml:space="preserve">realizowanie programu ze środków budżetowych państwa. </w:t>
      </w:r>
    </w:p>
    <w:p w:rsidR="00601C52" w:rsidRPr="00424AA1" w:rsidRDefault="00601C52" w:rsidP="004F21DF">
      <w:pPr>
        <w:autoSpaceDE w:val="0"/>
        <w:autoSpaceDN w:val="0"/>
        <w:adjustRightInd w:val="0"/>
        <w:spacing w:line="276" w:lineRule="auto"/>
        <w:ind w:right="-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979CD" w:rsidRPr="00424AA1" w:rsidRDefault="004F21DF" w:rsidP="004F21DF">
      <w:pPr>
        <w:autoSpaceDE w:val="0"/>
        <w:autoSpaceDN w:val="0"/>
        <w:adjustRightInd w:val="0"/>
        <w:spacing w:line="276" w:lineRule="auto"/>
        <w:ind w:right="-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4AA1">
        <w:rPr>
          <w:rFonts w:ascii="Times New Roman" w:eastAsia="Calibri" w:hAnsi="Times New Roman" w:cs="Times New Roman"/>
          <w:sz w:val="24"/>
          <w:szCs w:val="24"/>
        </w:rPr>
        <w:t xml:space="preserve">Zgodnie z zapisami programu </w:t>
      </w:r>
      <w:r w:rsidR="00601C52" w:rsidRPr="00424AA1">
        <w:rPr>
          <w:rFonts w:ascii="Times New Roman" w:eastAsia="Calibri" w:hAnsi="Times New Roman" w:cs="Times New Roman"/>
          <w:sz w:val="24"/>
          <w:szCs w:val="24"/>
        </w:rPr>
        <w:t>wieloletniego</w:t>
      </w:r>
      <w:r w:rsidRPr="00424A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979CD" w:rsidRPr="00424AA1">
        <w:rPr>
          <w:rFonts w:ascii="Times New Roman" w:eastAsia="Calibri" w:hAnsi="Times New Roman" w:cs="Times New Roman"/>
          <w:sz w:val="24"/>
          <w:szCs w:val="24"/>
        </w:rPr>
        <w:t>„</w:t>
      </w:r>
      <w:r w:rsidRPr="00424AA1">
        <w:rPr>
          <w:rFonts w:ascii="Times New Roman" w:eastAsia="Calibri" w:hAnsi="Times New Roman" w:cs="Times New Roman"/>
          <w:sz w:val="24"/>
          <w:szCs w:val="24"/>
        </w:rPr>
        <w:t>Senior+</w:t>
      </w:r>
      <w:r w:rsidR="004079A4" w:rsidRPr="00424AA1">
        <w:rPr>
          <w:rFonts w:ascii="Times New Roman" w:eastAsia="Calibri" w:hAnsi="Times New Roman" w:cs="Times New Roman"/>
          <w:sz w:val="24"/>
          <w:szCs w:val="24"/>
        </w:rPr>
        <w:t>”</w:t>
      </w:r>
      <w:r w:rsidRPr="00424AA1">
        <w:rPr>
          <w:rFonts w:ascii="Times New Roman" w:eastAsia="Calibri" w:hAnsi="Times New Roman" w:cs="Times New Roman"/>
          <w:sz w:val="24"/>
          <w:szCs w:val="24"/>
        </w:rPr>
        <w:t xml:space="preserve">, do zadań wojewody należy </w:t>
      </w:r>
      <w:r w:rsidR="00CF5E0D" w:rsidRPr="00424AA1">
        <w:rPr>
          <w:rFonts w:ascii="Times New Roman" w:eastAsia="Calibri" w:hAnsi="Times New Roman" w:cs="Times New Roman"/>
          <w:sz w:val="24"/>
          <w:szCs w:val="24"/>
        </w:rPr>
        <w:t>m.in. </w:t>
      </w:r>
      <w:r w:rsidRPr="00424AA1">
        <w:rPr>
          <w:rFonts w:ascii="Times New Roman" w:eastAsia="Calibri" w:hAnsi="Times New Roman" w:cs="Times New Roman"/>
          <w:sz w:val="24"/>
          <w:szCs w:val="24"/>
        </w:rPr>
        <w:t xml:space="preserve">podpisywanie umów z samorządami, przekazanie samorządom środków, analiza sprawozdań z realizacji programu, a także rozliczanie dotacji, kontrola i nadzór oraz monitorowanie ciągłości realizacji zadań. </w:t>
      </w:r>
    </w:p>
    <w:p w:rsidR="004F21DF" w:rsidRPr="00424AA1" w:rsidRDefault="004F21DF" w:rsidP="004F21DF">
      <w:pPr>
        <w:autoSpaceDE w:val="0"/>
        <w:autoSpaceDN w:val="0"/>
        <w:adjustRightInd w:val="0"/>
        <w:spacing w:line="276" w:lineRule="auto"/>
        <w:ind w:right="-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4AA1">
        <w:rPr>
          <w:rFonts w:ascii="Times New Roman" w:eastAsia="Calibri" w:hAnsi="Times New Roman" w:cs="Times New Roman"/>
          <w:sz w:val="24"/>
          <w:szCs w:val="24"/>
        </w:rPr>
        <w:t xml:space="preserve">W związku z powyższym każdorazowo decyzje i odpowiedzialność w powyższym zakresie </w:t>
      </w:r>
      <w:r w:rsidR="00CF5E0D" w:rsidRPr="00424AA1">
        <w:rPr>
          <w:rFonts w:ascii="Times New Roman" w:eastAsia="Calibri" w:hAnsi="Times New Roman" w:cs="Times New Roman"/>
          <w:sz w:val="24"/>
          <w:szCs w:val="24"/>
        </w:rPr>
        <w:t xml:space="preserve"> należą </w:t>
      </w:r>
      <w:r w:rsidRPr="00424AA1">
        <w:rPr>
          <w:rFonts w:ascii="Times New Roman" w:eastAsia="Calibri" w:hAnsi="Times New Roman" w:cs="Times New Roman"/>
          <w:sz w:val="24"/>
          <w:szCs w:val="24"/>
        </w:rPr>
        <w:t xml:space="preserve"> do właściwego wojewody. Mając jednak na uwadze potrzebę ujednolicenia praktyki, co do ogólnych zasad dotyczących sposobu rozliczenia dotacji w omawianym okresie</w:t>
      </w:r>
      <w:r w:rsidR="00CF5E0D" w:rsidRPr="00424AA1">
        <w:rPr>
          <w:rFonts w:ascii="Times New Roman" w:eastAsia="Calibri" w:hAnsi="Times New Roman" w:cs="Times New Roman"/>
          <w:sz w:val="24"/>
          <w:szCs w:val="24"/>
        </w:rPr>
        <w:t>,</w:t>
      </w:r>
      <w:r w:rsidRPr="00424AA1">
        <w:rPr>
          <w:rFonts w:ascii="Times New Roman" w:hAnsi="Times New Roman" w:cs="Times New Roman"/>
          <w:sz w:val="24"/>
          <w:szCs w:val="24"/>
        </w:rPr>
        <w:t xml:space="preserve"> Minister Rodziny, Pracy i Polityki Społecznej informuje o następujących zmianach w warunkach realizacji </w:t>
      </w:r>
      <w:r w:rsidRPr="00424AA1">
        <w:rPr>
          <w:rFonts w:ascii="Times New Roman" w:hAnsi="Times New Roman" w:cs="Times New Roman"/>
          <w:sz w:val="24"/>
          <w:szCs w:val="24"/>
        </w:rPr>
        <w:lastRenderedPageBreak/>
        <w:t>zadań w ramach modułu 2 (zapewnienie funkcjonowania już istniejących placówek) określonych w ogłoszeniu o otwartym konkursie ofert w ramach programu wieloletniego „Senior+” na lata 2015-2020, edycja w 2020, opublikowanego w Biuletynie Informacji Publicznej Ministerstwa Rodziny, Pracy i Polityki Społecznej w dniu 25 listopada 2019 r., oraz ogłoszeniu o dodatkowym naborze ofert w ramach programu „Senior+” edycja 2020 opublikowanym w dniu 21 kwietnia 2020 r. w Biuletynie Informacji Publicznej Ministerstwa Rodziny, Pracy i Polityki Społecznej:</w:t>
      </w:r>
      <w:r w:rsidRPr="00424AA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6719A" w:rsidRPr="00424AA1" w:rsidRDefault="0096719A" w:rsidP="0096719A">
      <w:pPr>
        <w:pStyle w:val="Akapitzlist"/>
        <w:numPr>
          <w:ilvl w:val="0"/>
          <w:numId w:val="1"/>
        </w:numPr>
        <w:spacing w:after="160" w:line="276" w:lineRule="auto"/>
        <w:ind w:left="567" w:right="-284"/>
        <w:jc w:val="both"/>
        <w:rPr>
          <w:sz w:val="24"/>
          <w:szCs w:val="24"/>
        </w:rPr>
      </w:pPr>
      <w:r w:rsidRPr="00424AA1">
        <w:rPr>
          <w:sz w:val="24"/>
          <w:szCs w:val="24"/>
        </w:rPr>
        <w:t>W okresie zawieszenia działalności lub czasowego zamknięcia ośrodków wsparcia,</w:t>
      </w:r>
      <w:r w:rsidR="004F21DF" w:rsidRPr="00424AA1">
        <w:rPr>
          <w:sz w:val="24"/>
          <w:szCs w:val="24"/>
        </w:rPr>
        <w:t xml:space="preserve"> </w:t>
      </w:r>
      <w:r w:rsidR="0092262A" w:rsidRPr="00424AA1">
        <w:rPr>
          <w:sz w:val="24"/>
          <w:szCs w:val="24"/>
        </w:rPr>
        <w:t>spowodowanego</w:t>
      </w:r>
      <w:r w:rsidR="00B326E7" w:rsidRPr="00424AA1">
        <w:rPr>
          <w:sz w:val="24"/>
          <w:szCs w:val="24"/>
        </w:rPr>
        <w:t xml:space="preserve"> skutkami Covid-</w:t>
      </w:r>
      <w:r w:rsidR="004F21DF" w:rsidRPr="00424AA1">
        <w:rPr>
          <w:sz w:val="24"/>
          <w:szCs w:val="24"/>
        </w:rPr>
        <w:t xml:space="preserve">19, </w:t>
      </w:r>
      <w:r w:rsidRPr="00424AA1">
        <w:rPr>
          <w:sz w:val="24"/>
          <w:szCs w:val="24"/>
        </w:rPr>
        <w:t xml:space="preserve"> których  funkcjonowanie jest finansowane w ramach modułu 2 programu wieloletniego Senior+ na lata 2015-2020, edycja 2020, jednostkom samorządu terytorialnego przysługuje dotacja </w:t>
      </w:r>
      <w:r w:rsidRPr="00424AA1">
        <w:rPr>
          <w:sz w:val="24"/>
          <w:szCs w:val="24"/>
          <w:u w:val="single"/>
        </w:rPr>
        <w:t>na pokrycie bieżących kosztów ich prowadzenia</w:t>
      </w:r>
      <w:r w:rsidRPr="00424AA1">
        <w:rPr>
          <w:sz w:val="24"/>
          <w:szCs w:val="24"/>
        </w:rPr>
        <w:t>.</w:t>
      </w:r>
    </w:p>
    <w:p w:rsidR="0096719A" w:rsidRPr="00424AA1" w:rsidRDefault="0096719A" w:rsidP="0096719A">
      <w:pPr>
        <w:numPr>
          <w:ilvl w:val="0"/>
          <w:numId w:val="1"/>
        </w:numPr>
        <w:spacing w:after="0" w:line="276" w:lineRule="auto"/>
        <w:ind w:left="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424AA1">
        <w:rPr>
          <w:rFonts w:ascii="Times New Roman" w:hAnsi="Times New Roman" w:cs="Times New Roman"/>
          <w:sz w:val="24"/>
          <w:szCs w:val="24"/>
        </w:rPr>
        <w:t>W okresie zawieszenia działalności lub czasowego zamknięcia Dziennych Domów i Klubów „Senior+”</w:t>
      </w:r>
      <w:r w:rsidR="004F21DF" w:rsidRPr="00424AA1">
        <w:rPr>
          <w:rFonts w:ascii="Times New Roman" w:hAnsi="Times New Roman" w:cs="Times New Roman"/>
          <w:sz w:val="24"/>
          <w:szCs w:val="24"/>
        </w:rPr>
        <w:t xml:space="preserve">, </w:t>
      </w:r>
      <w:r w:rsidR="0092262A" w:rsidRPr="00424AA1">
        <w:rPr>
          <w:rFonts w:ascii="Times New Roman" w:hAnsi="Times New Roman" w:cs="Times New Roman"/>
          <w:sz w:val="24"/>
          <w:szCs w:val="24"/>
        </w:rPr>
        <w:t>spowodowanego</w:t>
      </w:r>
      <w:r w:rsidR="00B326E7" w:rsidRPr="00424AA1">
        <w:rPr>
          <w:rFonts w:ascii="Times New Roman" w:hAnsi="Times New Roman" w:cs="Times New Roman"/>
          <w:sz w:val="24"/>
          <w:szCs w:val="24"/>
        </w:rPr>
        <w:t xml:space="preserve"> skutkami Covid-</w:t>
      </w:r>
      <w:r w:rsidR="004F21DF" w:rsidRPr="00424AA1">
        <w:rPr>
          <w:rFonts w:ascii="Times New Roman" w:hAnsi="Times New Roman" w:cs="Times New Roman"/>
          <w:sz w:val="24"/>
          <w:szCs w:val="24"/>
        </w:rPr>
        <w:t>19,</w:t>
      </w:r>
      <w:r w:rsidRPr="00424AA1">
        <w:rPr>
          <w:rFonts w:ascii="Times New Roman" w:hAnsi="Times New Roman" w:cs="Times New Roman"/>
          <w:sz w:val="24"/>
          <w:szCs w:val="24"/>
        </w:rPr>
        <w:t xml:space="preserve"> traci moc zapis punktu VII podpunktu 6 ogłoszenia o konkursie w brzmieniu:</w:t>
      </w:r>
    </w:p>
    <w:p w:rsidR="0096719A" w:rsidRPr="00424AA1" w:rsidRDefault="0096719A" w:rsidP="0096719A">
      <w:pPr>
        <w:spacing w:line="276" w:lineRule="auto"/>
        <w:ind w:left="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424AA1">
        <w:rPr>
          <w:rFonts w:ascii="Times New Roman" w:hAnsi="Times New Roman" w:cs="Times New Roman"/>
          <w:sz w:val="24"/>
          <w:szCs w:val="24"/>
        </w:rPr>
        <w:t>„VII. 6.  W przypadku otrzymania dotacji w ramach modułu 2 konkursu, Zleceniobiorca zobowiązany jest do prowadzenia dziennych list obecności na podstawie których ustalana będzie miesięczna frekwencja. W przypadku, gdy faktyczna frekwencja w danym miesiącu jest o 30 % mniejsza od dofinansowanej liczby utrzymywanych miejsc w danej placówce, każde dofinansowane miejsce (po zaokrągleniu w dół) poniżej wskazanego limitu stanowi koszt niekwalifikowany, który podlega zwrotowi jako część dotacji pobranej w nadmiernej wysokości.”</w:t>
      </w:r>
    </w:p>
    <w:p w:rsidR="0096719A" w:rsidRPr="00424AA1" w:rsidRDefault="0096719A" w:rsidP="0096719A">
      <w:pPr>
        <w:pStyle w:val="Akapitzlist"/>
        <w:widowControl w:val="0"/>
        <w:numPr>
          <w:ilvl w:val="0"/>
          <w:numId w:val="2"/>
        </w:numPr>
        <w:spacing w:before="240" w:after="160" w:line="276" w:lineRule="auto"/>
        <w:ind w:left="567" w:right="-284"/>
        <w:jc w:val="both"/>
        <w:rPr>
          <w:rFonts w:eastAsia="Calibri"/>
          <w:spacing w:val="-5"/>
          <w:sz w:val="24"/>
          <w:szCs w:val="24"/>
        </w:rPr>
      </w:pPr>
      <w:r w:rsidRPr="00424AA1">
        <w:rPr>
          <w:rFonts w:eastAsia="Calibri"/>
          <w:spacing w:val="-5"/>
          <w:sz w:val="24"/>
          <w:szCs w:val="24"/>
        </w:rPr>
        <w:t xml:space="preserve">W okresie od 12 marca 2020 r. do 31 grudnia 2020 r., treść </w:t>
      </w:r>
      <w:r w:rsidRPr="00424AA1">
        <w:rPr>
          <w:sz w:val="24"/>
          <w:szCs w:val="24"/>
        </w:rPr>
        <w:t>punktu VII podpunktu 6 ogłoszenia o konkursie otrzymuje brzmienie:</w:t>
      </w:r>
    </w:p>
    <w:p w:rsidR="0096719A" w:rsidRPr="00424AA1" w:rsidRDefault="0096719A" w:rsidP="0096719A">
      <w:pPr>
        <w:pStyle w:val="Akapitzlist"/>
        <w:widowControl w:val="0"/>
        <w:spacing w:before="240" w:after="160" w:line="276" w:lineRule="auto"/>
        <w:ind w:left="567" w:right="-284"/>
        <w:jc w:val="both"/>
        <w:rPr>
          <w:rFonts w:eastAsia="Calibri"/>
          <w:sz w:val="24"/>
          <w:szCs w:val="24"/>
        </w:rPr>
      </w:pPr>
      <w:r w:rsidRPr="00424AA1">
        <w:rPr>
          <w:sz w:val="24"/>
          <w:szCs w:val="24"/>
        </w:rPr>
        <w:t xml:space="preserve">„VII. 6. W przypadku otrzymania dotacji w ramach modułu 2 konkursu, Zleceniobiorca zobowiązany jest do prowadzenia dziennych list obecności na podstawie których ustalana będzie miesięczna frekwencja. W </w:t>
      </w:r>
      <w:r w:rsidRPr="00424AA1">
        <w:rPr>
          <w:rFonts w:eastAsia="Calibri"/>
          <w:spacing w:val="-5"/>
          <w:sz w:val="24"/>
          <w:szCs w:val="24"/>
        </w:rPr>
        <w:t>przypadku, gdy faktyczna frekwencja w danym miesiącu jest o 50% mniejsza od dofinansowanej liczby utrzymywanych miejsc w danej placówce, każde dofinansowane miejsce (po zaokrągleniu w dół) poniżej wskazanego limitu stanowi koszt niekwalifikowany, który podlega zwrotowi jako część dotacji pobranej w nadmiernej wysokości.</w:t>
      </w:r>
      <w:r w:rsidRPr="00424AA1">
        <w:rPr>
          <w:rFonts w:eastAsia="Calibri"/>
          <w:sz w:val="24"/>
          <w:szCs w:val="24"/>
        </w:rPr>
        <w:t xml:space="preserve"> Przy wyliczeniu frekwencji uwzględnia się liczbę osób objętych usługami, lub alternatywnymi sposobami realizacji zajęć, prowadzonych poza siedzibą Dziennego Domu, czy Klubu „Senior+”. </w:t>
      </w:r>
    </w:p>
    <w:p w:rsidR="0096719A" w:rsidRPr="00424AA1" w:rsidRDefault="0096719A" w:rsidP="0096719A">
      <w:pPr>
        <w:pStyle w:val="Akapitzlist"/>
        <w:widowControl w:val="0"/>
        <w:spacing w:before="240" w:after="160" w:line="276" w:lineRule="auto"/>
        <w:ind w:left="567" w:right="-284"/>
        <w:jc w:val="both"/>
        <w:rPr>
          <w:rFonts w:eastAsia="Calibri"/>
          <w:spacing w:val="-5"/>
          <w:sz w:val="24"/>
          <w:szCs w:val="24"/>
        </w:rPr>
      </w:pPr>
    </w:p>
    <w:p w:rsidR="0096719A" w:rsidRPr="00424AA1" w:rsidRDefault="0096719A" w:rsidP="0096719A">
      <w:pPr>
        <w:pStyle w:val="Akapitzlist"/>
        <w:widowControl w:val="0"/>
        <w:numPr>
          <w:ilvl w:val="0"/>
          <w:numId w:val="1"/>
        </w:numPr>
        <w:spacing w:before="240" w:after="160" w:line="276" w:lineRule="auto"/>
        <w:ind w:left="567" w:right="-142"/>
        <w:jc w:val="both"/>
        <w:rPr>
          <w:rFonts w:eastAsia="Times New Roman"/>
          <w:sz w:val="24"/>
          <w:szCs w:val="24"/>
          <w:lang w:eastAsia="pl-PL"/>
        </w:rPr>
      </w:pPr>
      <w:r w:rsidRPr="00424AA1">
        <w:rPr>
          <w:rFonts w:eastAsia="Times New Roman"/>
          <w:sz w:val="24"/>
          <w:szCs w:val="24"/>
          <w:lang w:eastAsia="pl-PL"/>
        </w:rPr>
        <w:t xml:space="preserve">Okres zamknięcia lub zawieszenia działalności Dziennych Domów i Klubów „Senior+”, </w:t>
      </w:r>
      <w:r w:rsidR="0092262A" w:rsidRPr="00424AA1">
        <w:rPr>
          <w:rFonts w:eastAsia="Times New Roman"/>
          <w:sz w:val="24"/>
          <w:szCs w:val="24"/>
          <w:lang w:eastAsia="pl-PL"/>
        </w:rPr>
        <w:t xml:space="preserve">wywołany skutkami </w:t>
      </w:r>
      <w:r w:rsidRPr="00424AA1">
        <w:rPr>
          <w:rFonts w:eastAsia="Times New Roman"/>
          <w:sz w:val="24"/>
          <w:szCs w:val="24"/>
          <w:lang w:eastAsia="pl-PL"/>
        </w:rPr>
        <w:t xml:space="preserve">COVID-19, wlicza się do okresu utrzymania trwałości realizacji zadania w ramach programu wieloletniego „Senior+” na lata 2015-2020, o którym mowa w punkcie VII </w:t>
      </w:r>
      <w:proofErr w:type="spellStart"/>
      <w:r w:rsidRPr="00424AA1">
        <w:rPr>
          <w:rFonts w:eastAsia="Times New Roman"/>
          <w:sz w:val="24"/>
          <w:szCs w:val="24"/>
          <w:lang w:eastAsia="pl-PL"/>
        </w:rPr>
        <w:t>ppkt</w:t>
      </w:r>
      <w:proofErr w:type="spellEnd"/>
      <w:r w:rsidRPr="00424AA1">
        <w:rPr>
          <w:rFonts w:eastAsia="Times New Roman"/>
          <w:sz w:val="24"/>
          <w:szCs w:val="24"/>
          <w:lang w:eastAsia="pl-PL"/>
        </w:rPr>
        <w:t xml:space="preserve"> 7 ogłoszenia o konkursie. </w:t>
      </w:r>
    </w:p>
    <w:p w:rsidR="007C613F" w:rsidRDefault="00D53D91" w:rsidP="00D53D91">
      <w:pPr>
        <w:ind w:left="411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Minister</w:t>
      </w:r>
    </w:p>
    <w:p w:rsidR="00D53D91" w:rsidRDefault="00D53D91" w:rsidP="00D53D91">
      <w:pPr>
        <w:ind w:left="411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up. Stanisław Szwed Sekretarz Stanu</w:t>
      </w:r>
    </w:p>
    <w:p w:rsidR="00D53D91" w:rsidRPr="00424AA1" w:rsidRDefault="009925F8" w:rsidP="009925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Warszawa, 5 czerwca 2020 r.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 xml:space="preserve">           </w:t>
      </w:r>
      <w:r w:rsidR="00D53D91">
        <w:rPr>
          <w:rFonts w:ascii="Times New Roman" w:hAnsi="Times New Roman" w:cs="Times New Roman"/>
          <w:i/>
        </w:rPr>
        <w:t>/-podpisano kwalifikowanym podpisem elektronicznym/</w:t>
      </w:r>
    </w:p>
    <w:sectPr w:rsidR="00D53D91" w:rsidRPr="00424A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0A7CF4"/>
    <w:multiLevelType w:val="hybridMultilevel"/>
    <w:tmpl w:val="D414AAF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19A"/>
    <w:rsid w:val="004079A4"/>
    <w:rsid w:val="00416119"/>
    <w:rsid w:val="00424AA1"/>
    <w:rsid w:val="004B18FD"/>
    <w:rsid w:val="004F21DF"/>
    <w:rsid w:val="005C5234"/>
    <w:rsid w:val="00601C52"/>
    <w:rsid w:val="007C613F"/>
    <w:rsid w:val="008C3F75"/>
    <w:rsid w:val="0092262A"/>
    <w:rsid w:val="0096719A"/>
    <w:rsid w:val="009925F8"/>
    <w:rsid w:val="009B022E"/>
    <w:rsid w:val="00A96F1D"/>
    <w:rsid w:val="00B326E7"/>
    <w:rsid w:val="00B6698F"/>
    <w:rsid w:val="00C3359E"/>
    <w:rsid w:val="00CF5E0D"/>
    <w:rsid w:val="00D53D91"/>
    <w:rsid w:val="00D629F3"/>
    <w:rsid w:val="00DC7CBA"/>
    <w:rsid w:val="00EB2546"/>
    <w:rsid w:val="00F9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E2B6CB-658B-4EB8-9B2A-DAA7F5FE1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71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719A"/>
    <w:pPr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rsid w:val="00C335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801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Kwiatkowska</dc:creator>
  <cp:keywords/>
  <dc:description/>
  <cp:lastModifiedBy>Zielińska Aleksandra</cp:lastModifiedBy>
  <cp:revision>2</cp:revision>
  <dcterms:created xsi:type="dcterms:W3CDTF">2020-06-08T09:13:00Z</dcterms:created>
  <dcterms:modified xsi:type="dcterms:W3CDTF">2020-06-08T09:13:00Z</dcterms:modified>
</cp:coreProperties>
</file>